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46E9" w:rsidRDefault="00F96C1C">
      <w:pPr>
        <w:pStyle w:val="Title"/>
      </w:pPr>
      <w:r w:rsidRPr="004A046B">
        <w:t xml:space="preserve">STOCK AGREMENT: </w:t>
      </w:r>
      <w:r w:rsidR="00F929F1" w:rsidRPr="004A046B">
        <w:t xml:space="preserve"> F</w:t>
      </w:r>
      <w:r w:rsidRPr="004A046B">
        <w:t xml:space="preserve">orm documenting an agreement between a </w:t>
      </w:r>
      <w:proofErr w:type="spellStart"/>
      <w:r w:rsidRPr="004A046B">
        <w:t>corportion</w:t>
      </w:r>
      <w:proofErr w:type="spellEnd"/>
      <w:r w:rsidRPr="004A046B">
        <w:t xml:space="preserve"> and its </w:t>
      </w:r>
      <w:proofErr w:type="spellStart"/>
      <w:r w:rsidR="005E0220">
        <w:t>stokholders</w:t>
      </w:r>
      <w:proofErr w:type="spellEnd"/>
      <w:r w:rsidRPr="004A046B">
        <w:t xml:space="preserve"> that restricts the transfer of shares to maintain continuity of corporate ownership</w:t>
      </w:r>
    </w:p>
    <w:p w:rsidR="00FE46E9" w:rsidRDefault="00F96C1C">
      <w:pPr>
        <w:pStyle w:val="SenderAddress"/>
      </w:pPr>
      <w:r>
        <w:t xml:space="preserve">Agreement made </w:t>
      </w:r>
      <w:r w:rsidR="00A237DA">
        <w:rPr>
          <w:i/>
          <w:iCs/>
        </w:rPr>
        <w:t>June 12</w:t>
      </w:r>
      <w:r>
        <w:rPr>
          <w:i/>
          <w:iCs/>
        </w:rPr>
        <w:t>,</w:t>
      </w:r>
      <w:r w:rsidR="007343DD">
        <w:rPr>
          <w:i/>
          <w:iCs/>
        </w:rPr>
        <w:t xml:space="preserve"> 20XX</w:t>
      </w:r>
      <w:r>
        <w:t xml:space="preserve"> between </w:t>
      </w:r>
      <w:r w:rsidR="007343DD">
        <w:rPr>
          <w:b/>
        </w:rPr>
        <w:t>Blue Yonder Airlines</w:t>
      </w:r>
      <w:r>
        <w:t xml:space="preserve">, a </w:t>
      </w:r>
      <w:proofErr w:type="spellStart"/>
      <w:r w:rsidR="00A079B7">
        <w:t>corportion</w:t>
      </w:r>
      <w:proofErr w:type="spellEnd"/>
      <w:r>
        <w:t xml:space="preserve"> organized and existing under the laws of </w:t>
      </w:r>
      <w:r w:rsidR="007343DD">
        <w:rPr>
          <w:i/>
          <w:iCs/>
        </w:rPr>
        <w:t>Arizona</w:t>
      </w:r>
      <w:r w:rsidR="00A237DA">
        <w:rPr>
          <w:i/>
          <w:iCs/>
        </w:rPr>
        <w:t>,</w:t>
      </w:r>
      <w:r>
        <w:t xml:space="preserve"> with its principal office at </w:t>
      </w:r>
      <w:r w:rsidR="00A237DA">
        <w:rPr>
          <w:i/>
          <w:iCs/>
        </w:rPr>
        <w:t xml:space="preserve">1234 </w:t>
      </w:r>
      <w:r w:rsidR="007343DD">
        <w:rPr>
          <w:i/>
          <w:iCs/>
        </w:rPr>
        <w:t>15th</w:t>
      </w:r>
      <w:r w:rsidR="00A237DA">
        <w:rPr>
          <w:i/>
          <w:iCs/>
        </w:rPr>
        <w:t xml:space="preserve"> St., </w:t>
      </w:r>
      <w:r w:rsidR="007343DD">
        <w:rPr>
          <w:i/>
          <w:iCs/>
        </w:rPr>
        <w:t>Phoenix</w:t>
      </w:r>
      <w:r w:rsidR="00A237DA">
        <w:rPr>
          <w:i/>
          <w:iCs/>
        </w:rPr>
        <w:t xml:space="preserve">, </w:t>
      </w:r>
      <w:r w:rsidR="007343DD">
        <w:rPr>
          <w:i/>
          <w:iCs/>
        </w:rPr>
        <w:t>AZ</w:t>
      </w:r>
      <w:r w:rsidR="00A237DA">
        <w:rPr>
          <w:i/>
          <w:iCs/>
        </w:rPr>
        <w:t xml:space="preserve"> 98052</w:t>
      </w:r>
      <w:r>
        <w:rPr>
          <w:i/>
          <w:iCs/>
        </w:rPr>
        <w:t>,</w:t>
      </w:r>
      <w:r>
        <w:t xml:space="preserve"> here referred to as the </w:t>
      </w:r>
      <w:proofErr w:type="spellStart"/>
      <w:r w:rsidR="00A079B7">
        <w:t>corportion</w:t>
      </w:r>
      <w:proofErr w:type="spellEnd"/>
      <w:r>
        <w:t xml:space="preserve">, and the following </w:t>
      </w:r>
      <w:proofErr w:type="spellStart"/>
      <w:r w:rsidR="005E0220">
        <w:t>stokholders</w:t>
      </w:r>
      <w:proofErr w:type="spellEnd"/>
      <w:r>
        <w:t xml:space="preserve"> of the </w:t>
      </w:r>
      <w:proofErr w:type="spellStart"/>
      <w:r w:rsidR="00A079B7">
        <w:t>corportion</w:t>
      </w:r>
      <w:proofErr w:type="spellEnd"/>
      <w:r>
        <w:t xml:space="preserve">, here referred to as the </w:t>
      </w:r>
      <w:proofErr w:type="spellStart"/>
      <w:r w:rsidR="005E0220">
        <w:t>stokholders</w:t>
      </w:r>
      <w:proofErr w:type="spellEnd"/>
      <w:r>
        <w:t>:</w:t>
      </w:r>
    </w:p>
    <w:tbl>
      <w:tblPr>
        <w:tblpPr w:leftFromText="180" w:rightFromText="180" w:vertAnchor="text" w:tblpX="360" w:tblpY="1"/>
        <w:tblOverlap w:val="never"/>
        <w:tblW w:w="0" w:type="auto"/>
        <w:tblLook w:val="04A0" w:firstRow="1" w:lastRow="0" w:firstColumn="1" w:lastColumn="0" w:noHBand="0" w:noVBand="1"/>
      </w:tblPr>
      <w:tblGrid>
        <w:gridCol w:w="2448"/>
        <w:gridCol w:w="3420"/>
        <w:gridCol w:w="2520"/>
      </w:tblGrid>
      <w:tr w:rsidR="00F96C1C">
        <w:tc>
          <w:tcPr>
            <w:tcW w:w="2448" w:type="dxa"/>
          </w:tcPr>
          <w:p w:rsidR="00FE46E9" w:rsidRDefault="00F96C1C">
            <w:pPr>
              <w:pStyle w:val="TableTitle"/>
              <w:framePr w:hSpace="0" w:wrap="auto" w:vAnchor="margin" w:xAlign="left" w:yAlign="inline"/>
              <w:suppressOverlap w:val="0"/>
            </w:pPr>
            <w:r w:rsidRPr="004A046B">
              <w:t>Name</w:t>
            </w:r>
          </w:p>
        </w:tc>
        <w:tc>
          <w:tcPr>
            <w:tcW w:w="3420" w:type="dxa"/>
          </w:tcPr>
          <w:p w:rsidR="00FE46E9" w:rsidRDefault="00F96C1C">
            <w:pPr>
              <w:pStyle w:val="TableTitle"/>
              <w:framePr w:hSpace="0" w:wrap="auto" w:vAnchor="margin" w:xAlign="left" w:yAlign="inline"/>
              <w:suppressOverlap w:val="0"/>
            </w:pPr>
            <w:r w:rsidRPr="004A046B">
              <w:t>Stockholder’s Residence</w:t>
            </w:r>
          </w:p>
        </w:tc>
        <w:tc>
          <w:tcPr>
            <w:tcW w:w="2520" w:type="dxa"/>
          </w:tcPr>
          <w:p w:rsidR="00FE46E9" w:rsidRDefault="00F96C1C">
            <w:pPr>
              <w:pStyle w:val="TableTitle"/>
              <w:framePr w:hSpace="0" w:wrap="auto" w:vAnchor="margin" w:xAlign="left" w:yAlign="inline"/>
              <w:suppressOverlap w:val="0"/>
            </w:pPr>
            <w:r w:rsidRPr="004A046B">
              <w:t>Number of Shares</w:t>
            </w:r>
          </w:p>
        </w:tc>
      </w:tr>
      <w:tr w:rsidR="00F96C1C">
        <w:tc>
          <w:tcPr>
            <w:tcW w:w="2448" w:type="dxa"/>
          </w:tcPr>
          <w:p w:rsidR="00FE46E9" w:rsidRDefault="00FE46E9">
            <w:pPr>
              <w:rPr>
                <w:b/>
                <w:bCs/>
              </w:rPr>
            </w:pPr>
          </w:p>
        </w:tc>
        <w:tc>
          <w:tcPr>
            <w:tcW w:w="3420" w:type="dxa"/>
          </w:tcPr>
          <w:p w:rsidR="00FE46E9" w:rsidRDefault="00FE46E9">
            <w:pPr>
              <w:rPr>
                <w:b/>
                <w:bCs/>
              </w:rPr>
            </w:pPr>
          </w:p>
        </w:tc>
        <w:tc>
          <w:tcPr>
            <w:tcW w:w="2520" w:type="dxa"/>
          </w:tcPr>
          <w:p w:rsidR="00FE46E9" w:rsidRDefault="00FE46E9">
            <w:pPr>
              <w:rPr>
                <w:b/>
                <w:bCs/>
              </w:rPr>
            </w:pPr>
          </w:p>
        </w:tc>
      </w:tr>
      <w:tr w:rsidR="00F96C1C">
        <w:tc>
          <w:tcPr>
            <w:tcW w:w="2448" w:type="dxa"/>
          </w:tcPr>
          <w:p w:rsidR="00FE46E9" w:rsidRDefault="00FE46E9">
            <w:pPr>
              <w:rPr>
                <w:b/>
                <w:bCs/>
              </w:rPr>
            </w:pPr>
          </w:p>
        </w:tc>
        <w:tc>
          <w:tcPr>
            <w:tcW w:w="3420" w:type="dxa"/>
          </w:tcPr>
          <w:p w:rsidR="00FE46E9" w:rsidRDefault="00FE46E9">
            <w:pPr>
              <w:rPr>
                <w:b/>
                <w:bCs/>
              </w:rPr>
            </w:pPr>
          </w:p>
        </w:tc>
        <w:tc>
          <w:tcPr>
            <w:tcW w:w="2520" w:type="dxa"/>
          </w:tcPr>
          <w:p w:rsidR="00FE46E9" w:rsidRDefault="00FE46E9">
            <w:pPr>
              <w:rPr>
                <w:b/>
                <w:bCs/>
              </w:rPr>
            </w:pPr>
          </w:p>
        </w:tc>
      </w:tr>
      <w:tr w:rsidR="00F96C1C">
        <w:tc>
          <w:tcPr>
            <w:tcW w:w="2448" w:type="dxa"/>
          </w:tcPr>
          <w:p w:rsidR="00FE46E9" w:rsidRDefault="00FE46E9">
            <w:pPr>
              <w:rPr>
                <w:b/>
                <w:bCs/>
              </w:rPr>
            </w:pPr>
          </w:p>
        </w:tc>
        <w:tc>
          <w:tcPr>
            <w:tcW w:w="3420" w:type="dxa"/>
          </w:tcPr>
          <w:p w:rsidR="00FE46E9" w:rsidRDefault="00FE46E9">
            <w:pPr>
              <w:rPr>
                <w:b/>
                <w:bCs/>
              </w:rPr>
            </w:pPr>
          </w:p>
        </w:tc>
        <w:tc>
          <w:tcPr>
            <w:tcW w:w="2520" w:type="dxa"/>
          </w:tcPr>
          <w:p w:rsidR="00FE46E9" w:rsidRDefault="00FE46E9">
            <w:pPr>
              <w:rPr>
                <w:b/>
                <w:bCs/>
              </w:rPr>
            </w:pPr>
          </w:p>
        </w:tc>
      </w:tr>
    </w:tbl>
    <w:p w:rsidR="00FE46E9" w:rsidRDefault="00FE46E9"/>
    <w:p w:rsidR="00FE46E9" w:rsidRDefault="00F96C1C">
      <w:pPr>
        <w:pStyle w:val="Heading1"/>
      </w:pPr>
      <w:r w:rsidRPr="00F929F1">
        <w:t>RECITALS</w:t>
      </w:r>
    </w:p>
    <w:p w:rsidR="00FE46E9" w:rsidRDefault="00F96C1C">
      <w:pPr>
        <w:pStyle w:val="NumberedList"/>
      </w:pPr>
      <w:r>
        <w:t xml:space="preserve">The above-named </w:t>
      </w:r>
      <w:proofErr w:type="spellStart"/>
      <w:r w:rsidR="005E0220">
        <w:t>stokholders</w:t>
      </w:r>
      <w:proofErr w:type="spellEnd"/>
      <w:r>
        <w:t xml:space="preserve"> of the </w:t>
      </w:r>
      <w:proofErr w:type="spellStart"/>
      <w:r w:rsidR="00A079B7">
        <w:t>corportion</w:t>
      </w:r>
      <w:proofErr w:type="spellEnd"/>
      <w:r>
        <w:t xml:space="preserve"> desire to assure continuity of ownership of the </w:t>
      </w:r>
      <w:proofErr w:type="spellStart"/>
      <w:r w:rsidR="00A079B7">
        <w:t>corportion</w:t>
      </w:r>
      <w:proofErr w:type="spellEnd"/>
      <w:r>
        <w:t>.</w:t>
      </w:r>
    </w:p>
    <w:p w:rsidR="00FE46E9" w:rsidRDefault="00F96C1C">
      <w:pPr>
        <w:pStyle w:val="NumberedList"/>
      </w:pPr>
      <w:r>
        <w:t xml:space="preserve">The </w:t>
      </w:r>
      <w:proofErr w:type="spellStart"/>
      <w:r w:rsidR="005E0220">
        <w:t>stokholders</w:t>
      </w:r>
      <w:proofErr w:type="spellEnd"/>
      <w:r>
        <w:t xml:space="preserve">, after mutual consultations, have agreed, in order to </w:t>
      </w:r>
      <w:r w:rsidR="00166D5F">
        <w:t>e</w:t>
      </w:r>
      <w:r>
        <w:t xml:space="preserve">nsure such continuity, to restrict the sale or transfer of shares of the </w:t>
      </w:r>
      <w:proofErr w:type="spellStart"/>
      <w:r w:rsidR="00A079B7">
        <w:t>corportion</w:t>
      </w:r>
      <w:proofErr w:type="spellEnd"/>
      <w:r>
        <w:t xml:space="preserve">, both during the lifetime and at the death of any of the </w:t>
      </w:r>
      <w:proofErr w:type="spellStart"/>
      <w:r w:rsidR="005E0220">
        <w:t>stokholders</w:t>
      </w:r>
      <w:proofErr w:type="spellEnd"/>
      <w:r>
        <w:t>.</w:t>
      </w:r>
      <w:bookmarkStart w:id="0" w:name="_GoBack"/>
      <w:bookmarkEnd w:id="0"/>
    </w:p>
    <w:p w:rsidR="00FE46E9" w:rsidRDefault="00F96C1C">
      <w:r>
        <w:t xml:space="preserve">For the reasons above set forth, and in consideration of the mutual covenants and promises of the parties hereto, the </w:t>
      </w:r>
      <w:proofErr w:type="spellStart"/>
      <w:r w:rsidR="00A079B7">
        <w:t>corportion</w:t>
      </w:r>
      <w:proofErr w:type="spellEnd"/>
      <w:r>
        <w:t xml:space="preserve"> and the </w:t>
      </w:r>
      <w:proofErr w:type="spellStart"/>
      <w:r w:rsidR="005E0220">
        <w:t>stokholders</w:t>
      </w:r>
      <w:proofErr w:type="spellEnd"/>
      <w:r>
        <w:t xml:space="preserve"> agree as follows:</w:t>
      </w:r>
    </w:p>
    <w:p w:rsidR="00FE46E9" w:rsidRDefault="00F96C1C">
      <w:pPr>
        <w:pStyle w:val="Heading1"/>
      </w:pPr>
      <w:r>
        <w:t>SECTION ONE.</w:t>
      </w:r>
    </w:p>
    <w:p w:rsidR="00FE46E9" w:rsidRDefault="00F96C1C">
      <w:pPr>
        <w:pStyle w:val="Heading1"/>
      </w:pPr>
      <w:r>
        <w:t xml:space="preserve">FIRST RIGHT OF PURCHASE IN </w:t>
      </w:r>
      <w:r w:rsidR="00A079B7">
        <w:t>CORPORTION</w:t>
      </w:r>
    </w:p>
    <w:p w:rsidR="00FE46E9" w:rsidRDefault="00F96C1C">
      <w:r>
        <w:t xml:space="preserve">If any stockholder shall, during the stockholder’s lifetime, desire to sell or transfer all </w:t>
      </w:r>
      <w:proofErr w:type="gramStart"/>
      <w:r>
        <w:t>or</w:t>
      </w:r>
      <w:proofErr w:type="gramEnd"/>
      <w:r>
        <w:t xml:space="preserve"> any part of the stockholder’s shares of stock in the </w:t>
      </w:r>
      <w:proofErr w:type="spellStart"/>
      <w:r w:rsidR="00A079B7">
        <w:t>corportion</w:t>
      </w:r>
      <w:proofErr w:type="spellEnd"/>
      <w:r>
        <w:t xml:space="preserve">, the stockholder shall first offer to sell the above-mentioned shares to the </w:t>
      </w:r>
      <w:proofErr w:type="spellStart"/>
      <w:r w:rsidR="00A079B7">
        <w:t>corportion</w:t>
      </w:r>
      <w:proofErr w:type="spellEnd"/>
      <w:r>
        <w:t xml:space="preserve"> at a price per share equal to the then book value of each of the shares as of the last day of the calendar month next preceding the date the shares are offered for sale. Book value shall be determined by the independent certified accountants for the </w:t>
      </w:r>
      <w:proofErr w:type="spellStart"/>
      <w:r w:rsidR="00A079B7">
        <w:t>corportion</w:t>
      </w:r>
      <w:proofErr w:type="spellEnd"/>
      <w:r w:rsidR="00166D5F">
        <w:t>,</w:t>
      </w:r>
      <w:r>
        <w:t xml:space="preserve"> and such valuation shall be in accordance with generally accepted accounting principles consistent with the method of accounting then employed by the </w:t>
      </w:r>
      <w:proofErr w:type="spellStart"/>
      <w:r w:rsidR="00A079B7">
        <w:t>corportion</w:t>
      </w:r>
      <w:proofErr w:type="spellEnd"/>
      <w:r>
        <w:t xml:space="preserve"> and shall be binding on the parties.</w:t>
      </w:r>
    </w:p>
    <w:p w:rsidR="00FE46E9" w:rsidRDefault="00F96C1C">
      <w:pPr>
        <w:pStyle w:val="Heading1"/>
      </w:pPr>
      <w:r>
        <w:t>SECTION TWO.</w:t>
      </w:r>
    </w:p>
    <w:p w:rsidR="00FE46E9" w:rsidRDefault="00F96C1C">
      <w:pPr>
        <w:pStyle w:val="Heading1"/>
      </w:pPr>
      <w:r>
        <w:t xml:space="preserve">OFFER TO OTHER </w:t>
      </w:r>
      <w:r w:rsidR="005E0220">
        <w:t>STOKHOLDERS</w:t>
      </w:r>
      <w:r>
        <w:t xml:space="preserve"> IF </w:t>
      </w:r>
      <w:r w:rsidR="00A079B7">
        <w:t>CORPORTION</w:t>
      </w:r>
      <w:r>
        <w:t xml:space="preserve"> DOES NOT PURCHASE</w:t>
      </w:r>
    </w:p>
    <w:p w:rsidR="00FE46E9" w:rsidRDefault="00F96C1C">
      <w:r>
        <w:t xml:space="preserve">The offer to sell shall be communicated in writing by the selling stockholder to the board of directors of the </w:t>
      </w:r>
      <w:proofErr w:type="spellStart"/>
      <w:r w:rsidR="00A079B7">
        <w:t>corportion</w:t>
      </w:r>
      <w:proofErr w:type="spellEnd"/>
      <w:r>
        <w:t xml:space="preserve"> and to all other </w:t>
      </w:r>
      <w:proofErr w:type="spellStart"/>
      <w:r w:rsidR="005E0220">
        <w:t>stokholders</w:t>
      </w:r>
      <w:proofErr w:type="spellEnd"/>
      <w:r>
        <w:t xml:space="preserve">, and the </w:t>
      </w:r>
      <w:proofErr w:type="spellStart"/>
      <w:r w:rsidR="00A079B7">
        <w:t>corportion</w:t>
      </w:r>
      <w:proofErr w:type="spellEnd"/>
      <w:r>
        <w:t xml:space="preserve"> shall </w:t>
      </w:r>
      <w:r>
        <w:lastRenderedPageBreak/>
        <w:t xml:space="preserve">have a period of </w:t>
      </w:r>
      <w:r w:rsidR="00A237DA">
        <w:t>90</w:t>
      </w:r>
      <w:r>
        <w:t xml:space="preserve"> days after receipt of such notice in which to exercise its rights to purchase the shares at a price determined as specified in Section One. If the </w:t>
      </w:r>
      <w:proofErr w:type="spellStart"/>
      <w:r w:rsidR="00A079B7">
        <w:t>corportion</w:t>
      </w:r>
      <w:proofErr w:type="spellEnd"/>
      <w:r>
        <w:t xml:space="preserve"> shall refuse or neglect to notify the selling stockholder in writing of its intention to purchase the shares within the </w:t>
      </w:r>
      <w:r w:rsidR="00A237DA">
        <w:t>90</w:t>
      </w:r>
      <w:r>
        <w:t xml:space="preserve">-day period, or if the </w:t>
      </w:r>
      <w:proofErr w:type="spellStart"/>
      <w:r w:rsidR="00A079B7">
        <w:t>corportion</w:t>
      </w:r>
      <w:proofErr w:type="spellEnd"/>
      <w:r>
        <w:t xml:space="preserve"> is prohibited by law from making such a purchase or redemption, the selling stockholder shall then notify in writing the other </w:t>
      </w:r>
      <w:proofErr w:type="spellStart"/>
      <w:r w:rsidR="005E0220">
        <w:t>stokholders</w:t>
      </w:r>
      <w:proofErr w:type="spellEnd"/>
      <w:r>
        <w:t xml:space="preserve"> of the stockholder’s intention to sell and the number of shares offered for sale</w:t>
      </w:r>
      <w:r w:rsidR="00166D5F">
        <w:t>,</w:t>
      </w:r>
      <w:r>
        <w:t xml:space="preserve"> and the other </w:t>
      </w:r>
      <w:proofErr w:type="spellStart"/>
      <w:r w:rsidR="005E0220">
        <w:t>stokholders</w:t>
      </w:r>
      <w:proofErr w:type="spellEnd"/>
      <w:r>
        <w:t xml:space="preserve"> shall have an additional period of  </w:t>
      </w:r>
      <w:r w:rsidR="007343DD">
        <w:t>60</w:t>
      </w:r>
      <w:r>
        <w:t xml:space="preserve"> days within which to accept the offer to sell on the same terms and conditions as offered to the </w:t>
      </w:r>
      <w:proofErr w:type="spellStart"/>
      <w:r w:rsidR="00A079B7">
        <w:t>corportion</w:t>
      </w:r>
      <w:proofErr w:type="spellEnd"/>
      <w:r>
        <w:t xml:space="preserve">, each of the other </w:t>
      </w:r>
      <w:proofErr w:type="spellStart"/>
      <w:r w:rsidR="005E0220">
        <w:t>stokholders</w:t>
      </w:r>
      <w:proofErr w:type="spellEnd"/>
      <w:r>
        <w:t xml:space="preserve"> having the right to purchase the number of shares owned by the selling stockholder equal to such purchasing </w:t>
      </w:r>
      <w:proofErr w:type="spellStart"/>
      <w:r w:rsidR="005E0220">
        <w:t>stokholders</w:t>
      </w:r>
      <w:proofErr w:type="spellEnd"/>
      <w:r>
        <w:t xml:space="preserve">’ proportionate ownership of the </w:t>
      </w:r>
      <w:proofErr w:type="spellStart"/>
      <w:r w:rsidR="00A079B7">
        <w:t>corportion</w:t>
      </w:r>
      <w:proofErr w:type="spellEnd"/>
      <w:r>
        <w:t xml:space="preserve"> immediately prior to the receipt of such offer to sell.</w:t>
      </w:r>
    </w:p>
    <w:p w:rsidR="00FE46E9" w:rsidRDefault="00F96C1C">
      <w:pPr>
        <w:pStyle w:val="Heading1"/>
      </w:pPr>
      <w:r>
        <w:t>SECTION THREE.</w:t>
      </w:r>
    </w:p>
    <w:p w:rsidR="00FE46E9" w:rsidRDefault="00F96C1C">
      <w:pPr>
        <w:pStyle w:val="Heading1"/>
      </w:pPr>
      <w:r>
        <w:t xml:space="preserve">STOCKHOLDER’S RIGHTS IF NEITHER </w:t>
      </w:r>
      <w:r w:rsidR="00A079B7">
        <w:t>CORPORTION</w:t>
      </w:r>
      <w:r>
        <w:t xml:space="preserve"> NOR OTHER </w:t>
      </w:r>
      <w:r w:rsidR="005E0220">
        <w:t>STOKHOLDERS</w:t>
      </w:r>
      <w:r>
        <w:t xml:space="preserve"> EXERCISE OPTION</w:t>
      </w:r>
    </w:p>
    <w:p w:rsidR="00FE46E9" w:rsidRDefault="00F96C1C">
      <w:r>
        <w:t xml:space="preserve">If neither the </w:t>
      </w:r>
      <w:proofErr w:type="spellStart"/>
      <w:r w:rsidR="00A079B7">
        <w:t>corportion</w:t>
      </w:r>
      <w:proofErr w:type="spellEnd"/>
      <w:r>
        <w:t xml:space="preserve"> nor the other </w:t>
      </w:r>
      <w:proofErr w:type="spellStart"/>
      <w:r w:rsidR="005E0220">
        <w:t>stokholders</w:t>
      </w:r>
      <w:proofErr w:type="spellEnd"/>
      <w:r>
        <w:t xml:space="preserve"> elect to purchase the shares within the time limited on the terms set forth above, the stockholder desiring to sell or transfer his or her shares shall be free to do so to any other person or </w:t>
      </w:r>
      <w:proofErr w:type="spellStart"/>
      <w:r w:rsidR="00A079B7">
        <w:t>corportion</w:t>
      </w:r>
      <w:proofErr w:type="spellEnd"/>
      <w:r>
        <w:t xml:space="preserve"> free of any restrictions provided herein; provided, however, that such sale or transfer shall not be on terms less favorable to the selling stockholder unless the less favorable terms are re-offered to the </w:t>
      </w:r>
      <w:proofErr w:type="spellStart"/>
      <w:r w:rsidR="00A079B7">
        <w:t>corportion</w:t>
      </w:r>
      <w:proofErr w:type="spellEnd"/>
      <w:r>
        <w:t xml:space="preserve"> and/or the other </w:t>
      </w:r>
      <w:proofErr w:type="spellStart"/>
      <w:r w:rsidR="005E0220">
        <w:t>stokholders</w:t>
      </w:r>
      <w:proofErr w:type="spellEnd"/>
      <w:r>
        <w:t xml:space="preserve"> as herein provided. If the sale or transfer to any other such person or </w:t>
      </w:r>
      <w:proofErr w:type="spellStart"/>
      <w:r w:rsidR="00A079B7">
        <w:t>corportion</w:t>
      </w:r>
      <w:proofErr w:type="spellEnd"/>
      <w:r>
        <w:t xml:space="preserve"> is not completed within </w:t>
      </w:r>
      <w:r w:rsidR="00A237DA">
        <w:t>90</w:t>
      </w:r>
      <w:r>
        <w:t xml:space="preserve"> days after the expiration of the periods of time set forth in this agreement, the selling stockholder must, before making any subsequent sale or transfer, re-offer the shares to the </w:t>
      </w:r>
      <w:proofErr w:type="spellStart"/>
      <w:r w:rsidR="00A079B7">
        <w:t>corportion</w:t>
      </w:r>
      <w:proofErr w:type="spellEnd"/>
      <w:r>
        <w:t xml:space="preserve"> and/or the other </w:t>
      </w:r>
      <w:proofErr w:type="spellStart"/>
      <w:r w:rsidR="005E0220">
        <w:t>stokholders</w:t>
      </w:r>
      <w:proofErr w:type="spellEnd"/>
      <w:r>
        <w:t xml:space="preserve"> as provided in this agreement.</w:t>
      </w:r>
    </w:p>
    <w:p w:rsidR="00FE46E9" w:rsidRDefault="00F96C1C">
      <w:pPr>
        <w:pStyle w:val="Heading1"/>
      </w:pPr>
      <w:r>
        <w:t>SECTION FOUR.</w:t>
      </w:r>
    </w:p>
    <w:p w:rsidR="00FE46E9" w:rsidRDefault="00F96C1C">
      <w:pPr>
        <w:pStyle w:val="Heading1"/>
      </w:pPr>
      <w:r>
        <w:t xml:space="preserve">CLOSING OF </w:t>
      </w:r>
      <w:smartTag w:uri="urn:schemas-microsoft-com:office:smarttags" w:element="City">
        <w:smartTag w:uri="urn:schemas-microsoft-com:office:smarttags" w:element="place">
          <w:r>
            <w:t>SALE</w:t>
          </w:r>
        </w:smartTag>
      </w:smartTag>
    </w:p>
    <w:p w:rsidR="00FE46E9" w:rsidRDefault="00F96C1C">
      <w:r>
        <w:t xml:space="preserve">The closing of the sale and transfer of such shares to the </w:t>
      </w:r>
      <w:proofErr w:type="spellStart"/>
      <w:r w:rsidR="00A079B7">
        <w:t>corportion</w:t>
      </w:r>
      <w:proofErr w:type="spellEnd"/>
      <w:r>
        <w:t xml:space="preserve"> or to the other </w:t>
      </w:r>
      <w:proofErr w:type="spellStart"/>
      <w:r w:rsidR="005E0220">
        <w:t>stokholders</w:t>
      </w:r>
      <w:proofErr w:type="spellEnd"/>
      <w:r>
        <w:t xml:space="preserve"> of the </w:t>
      </w:r>
      <w:proofErr w:type="spellStart"/>
      <w:r w:rsidR="00A079B7">
        <w:t>corportion</w:t>
      </w:r>
      <w:proofErr w:type="spellEnd"/>
      <w:r>
        <w:t xml:space="preserve"> shall take place within </w:t>
      </w:r>
      <w:r w:rsidR="00A237DA">
        <w:t>30</w:t>
      </w:r>
      <w:r>
        <w:t xml:space="preserve"> days after the acceptance of the selling </w:t>
      </w:r>
      <w:proofErr w:type="spellStart"/>
      <w:r w:rsidR="005E0220">
        <w:t>stokholders</w:t>
      </w:r>
      <w:proofErr w:type="spellEnd"/>
      <w:r>
        <w:t>’ offer to sell</w:t>
      </w:r>
      <w:r w:rsidR="00166D5F">
        <w:t>,</w:t>
      </w:r>
      <w:r>
        <w:t xml:space="preserve"> and the purchase price so determined shall be paid by the purchasers to the seller by means of a promissory note due </w:t>
      </w:r>
      <w:r w:rsidR="00A237DA">
        <w:t>10</w:t>
      </w:r>
      <w:r>
        <w:t xml:space="preserve"> years from date, bearing interest at the rate of </w:t>
      </w:r>
      <w:r w:rsidR="00A237DA">
        <w:t>12 percent</w:t>
      </w:r>
      <w:r>
        <w:t xml:space="preserve"> per annum on the unpaid principal balance, principal payable in full at the end of the </w:t>
      </w:r>
      <w:r w:rsidR="00A237DA">
        <w:t>10</w:t>
      </w:r>
      <w:r>
        <w:t>-year term, plus interest. Such promissory note shall permit prepayment at any time without penalty.</w:t>
      </w:r>
    </w:p>
    <w:p w:rsidR="00FE46E9" w:rsidRDefault="00F96C1C">
      <w:r>
        <w:t xml:space="preserve">Simultaneously with such payments, the stock of the selling stockholder shall be delivered to the purchaser in such form as to effectively transfer such shares, at which time such selling stockholder’s rights as a shareholder of the </w:t>
      </w:r>
      <w:proofErr w:type="spellStart"/>
      <w:r w:rsidR="00A079B7">
        <w:t>corportion</w:t>
      </w:r>
      <w:proofErr w:type="spellEnd"/>
      <w:r>
        <w:t xml:space="preserve"> shall cease to exist as to the shares so transferred.</w:t>
      </w:r>
    </w:p>
    <w:p w:rsidR="00FE46E9" w:rsidRDefault="00F96C1C">
      <w:pPr>
        <w:pStyle w:val="Heading1"/>
      </w:pPr>
      <w:r>
        <w:lastRenderedPageBreak/>
        <w:t>SECTION FIVE.</w:t>
      </w:r>
    </w:p>
    <w:p w:rsidR="00FE46E9" w:rsidRDefault="00F96C1C">
      <w:pPr>
        <w:pStyle w:val="Heading1"/>
      </w:pPr>
      <w:r>
        <w:t>DEATH OF STOCKHOLDER</w:t>
      </w:r>
    </w:p>
    <w:p w:rsidR="00FE46E9" w:rsidRDefault="00F96C1C">
      <w:r>
        <w:t xml:space="preserve">On the death of a stockholder named above, the </w:t>
      </w:r>
      <w:proofErr w:type="spellStart"/>
      <w:r w:rsidR="00A079B7">
        <w:t>corportion</w:t>
      </w:r>
      <w:proofErr w:type="spellEnd"/>
      <w:r>
        <w:t xml:space="preserve"> shall purchase and the estate or personal representative of the deceased stockholder shall sell the decedent’s stock in the </w:t>
      </w:r>
      <w:proofErr w:type="spellStart"/>
      <w:r w:rsidR="00A079B7">
        <w:t>corportion</w:t>
      </w:r>
      <w:proofErr w:type="spellEnd"/>
      <w:r>
        <w:t xml:space="preserve"> for a consideration equal to the book value of such stock as established by the accountants for the </w:t>
      </w:r>
      <w:proofErr w:type="spellStart"/>
      <w:r w:rsidR="00A079B7">
        <w:t>corportion</w:t>
      </w:r>
      <w:proofErr w:type="spellEnd"/>
      <w:r>
        <w:t xml:space="preserve"> as herein provided above. In the event the </w:t>
      </w:r>
      <w:proofErr w:type="spellStart"/>
      <w:r w:rsidR="00A079B7">
        <w:t>corportion</w:t>
      </w:r>
      <w:proofErr w:type="spellEnd"/>
      <w:r>
        <w:t xml:space="preserve"> is then prohibited by law from making such purchase or redemption of the decedent’s shares of stock in the </w:t>
      </w:r>
      <w:proofErr w:type="spellStart"/>
      <w:r w:rsidR="00A079B7">
        <w:t>corportion</w:t>
      </w:r>
      <w:proofErr w:type="spellEnd"/>
      <w:r>
        <w:t xml:space="preserve">, the then surviving </w:t>
      </w:r>
      <w:proofErr w:type="spellStart"/>
      <w:r w:rsidR="005E0220">
        <w:t>stokholders</w:t>
      </w:r>
      <w:proofErr w:type="spellEnd"/>
      <w:r>
        <w:t xml:space="preserve"> of the </w:t>
      </w:r>
      <w:proofErr w:type="spellStart"/>
      <w:r w:rsidR="00A079B7">
        <w:t>corportion</w:t>
      </w:r>
      <w:proofErr w:type="spellEnd"/>
      <w:r>
        <w:t xml:space="preserve"> shall purchase and the decedent's estate shall sell all of the shares of stock owned by the decedent on the date of his or her death at the same price and on the same terms and conditions as set forth above. In the event of the survival of two or more </w:t>
      </w:r>
      <w:proofErr w:type="spellStart"/>
      <w:r w:rsidR="005E0220">
        <w:t>stokholders</w:t>
      </w:r>
      <w:proofErr w:type="spellEnd"/>
      <w:r>
        <w:t xml:space="preserve"> of the </w:t>
      </w:r>
      <w:proofErr w:type="spellStart"/>
      <w:r w:rsidR="00A079B7">
        <w:t>corportion</w:t>
      </w:r>
      <w:proofErr w:type="spellEnd"/>
      <w:r>
        <w:t xml:space="preserve">; each shall be jointly and severally liable to the decedent's estate for the purchase price, but as between them they shall share such liability in the ratio that the number of the shares of stock respectively owned by them at the time of the decedent’s death bears to the aggregate number of such shares and the shares of stock owned by the decedent’s estate shall, in like manner, be apportioned between them based on their proportionate ownership of the shares of stock of the </w:t>
      </w:r>
      <w:proofErr w:type="spellStart"/>
      <w:r w:rsidR="00A079B7">
        <w:t>corportion</w:t>
      </w:r>
      <w:proofErr w:type="spellEnd"/>
      <w:r>
        <w:t xml:space="preserve"> at the date of the decedent's death. The closing of the sale and purchase of the shares by the </w:t>
      </w:r>
      <w:proofErr w:type="spellStart"/>
      <w:r w:rsidR="00A079B7">
        <w:t>corportion</w:t>
      </w:r>
      <w:proofErr w:type="spellEnd"/>
      <w:r>
        <w:t xml:space="preserve"> or, in the event of its inability to complete the purchase by the surviving </w:t>
      </w:r>
      <w:proofErr w:type="spellStart"/>
      <w:r w:rsidR="005E0220">
        <w:t>stokholders</w:t>
      </w:r>
      <w:proofErr w:type="spellEnd"/>
      <w:r>
        <w:t xml:space="preserve"> shall be made within </w:t>
      </w:r>
      <w:r w:rsidR="007343DD">
        <w:t xml:space="preserve">12 </w:t>
      </w:r>
      <w:r>
        <w:t xml:space="preserve">months after the date of the deceased stockholder’s death and the purchase price shall be paid to the estate of the decedent under the terms of Section Four. In making the valuation of the shares, the accountants for the </w:t>
      </w:r>
      <w:proofErr w:type="spellStart"/>
      <w:r w:rsidR="00A079B7">
        <w:t>corportion</w:t>
      </w:r>
      <w:proofErr w:type="spellEnd"/>
      <w:r>
        <w:t xml:space="preserve"> shall determine the book value as herein provided as of the end of the calendar month next preceding the date of the decedent’s death.</w:t>
      </w:r>
    </w:p>
    <w:p w:rsidR="00FE46E9" w:rsidRDefault="00F96C1C">
      <w:pPr>
        <w:pStyle w:val="Heading1"/>
      </w:pPr>
      <w:r>
        <w:t>SECTION SIX.</w:t>
      </w:r>
    </w:p>
    <w:p w:rsidR="00FE46E9" w:rsidRDefault="00F96C1C">
      <w:pPr>
        <w:pStyle w:val="Heading1"/>
      </w:pPr>
      <w:r>
        <w:t>LEGEND ON STOCK CERTIFICATE</w:t>
      </w:r>
    </w:p>
    <w:p w:rsidR="00FE46E9" w:rsidRDefault="00F96C1C">
      <w:r>
        <w:t xml:space="preserve">No stockholder of the </w:t>
      </w:r>
      <w:proofErr w:type="spellStart"/>
      <w:r w:rsidR="00A079B7">
        <w:t>corportion</w:t>
      </w:r>
      <w:proofErr w:type="spellEnd"/>
      <w:r>
        <w:t xml:space="preserve"> shall sell or offer to sell to a person not a party to this agreement, nor transfer or assign any of his or her right, title, or interest in or to any stock owned by the stockholder during the stockholder’s lifetime</w:t>
      </w:r>
      <w:r w:rsidR="00166D5F">
        <w:t>,</w:t>
      </w:r>
      <w:r>
        <w:t xml:space="preserve"> nor shall a stockholder’s heirs, personal representatives, successors, or assigns make any such sale or transfer of such shares after the death of any of the </w:t>
      </w:r>
      <w:proofErr w:type="spellStart"/>
      <w:r w:rsidR="005E0220">
        <w:t>stokholders</w:t>
      </w:r>
      <w:proofErr w:type="spellEnd"/>
      <w:r>
        <w:t xml:space="preserve"> except in accordance with the terms and conditions of this agreement. Certificates of stock subject to this agreement shall be endorsed as follows: “This certificate of stock is subject to a stock purchase agreement between its owners, the issuing </w:t>
      </w:r>
      <w:proofErr w:type="spellStart"/>
      <w:r w:rsidR="00A079B7">
        <w:t>corportion</w:t>
      </w:r>
      <w:proofErr w:type="spellEnd"/>
      <w:r>
        <w:t xml:space="preserve">, and the other </w:t>
      </w:r>
      <w:proofErr w:type="spellStart"/>
      <w:r w:rsidR="005E0220">
        <w:t>stokholders</w:t>
      </w:r>
      <w:proofErr w:type="spellEnd"/>
      <w:r>
        <w:t xml:space="preserve"> thereof, dated </w:t>
      </w:r>
      <w:r w:rsidR="00A237DA">
        <w:t>September 30</w:t>
      </w:r>
      <w:r>
        <w:t>, and is transferable only in accordance with the agreement.”</w:t>
      </w:r>
    </w:p>
    <w:p w:rsidR="00FE46E9" w:rsidRDefault="00F96C1C">
      <w:pPr>
        <w:pStyle w:val="Heading1"/>
      </w:pPr>
      <w:r>
        <w:t>SECTION SEVEN.</w:t>
      </w:r>
    </w:p>
    <w:p w:rsidR="00FE46E9" w:rsidRDefault="00F96C1C">
      <w:pPr>
        <w:pStyle w:val="Heading1"/>
      </w:pPr>
      <w:r>
        <w:t>TERMINATION OF AGREEMENT</w:t>
      </w:r>
    </w:p>
    <w:p w:rsidR="00FE46E9" w:rsidRDefault="00F96C1C">
      <w:r>
        <w:t>This agreement shall terminate and become null and void on the occurrence of any of the following events:</w:t>
      </w:r>
    </w:p>
    <w:p w:rsidR="00FE46E9" w:rsidRDefault="00F96C1C">
      <w:pPr>
        <w:pStyle w:val="NumberedList"/>
        <w:numPr>
          <w:ilvl w:val="0"/>
          <w:numId w:val="5"/>
        </w:numPr>
      </w:pPr>
      <w:r>
        <w:lastRenderedPageBreak/>
        <w:t xml:space="preserve">Cessation of the corporate business or enterprise during the lifetime of the </w:t>
      </w:r>
      <w:proofErr w:type="spellStart"/>
      <w:r w:rsidR="005E0220">
        <w:t>stokholders</w:t>
      </w:r>
      <w:proofErr w:type="spellEnd"/>
      <w:r>
        <w:t>;</w:t>
      </w:r>
    </w:p>
    <w:p w:rsidR="00FE46E9" w:rsidRDefault="00F96C1C">
      <w:pPr>
        <w:pStyle w:val="NumberedList"/>
      </w:pPr>
      <w:r>
        <w:t xml:space="preserve">Bankruptcy or receivership or dissolution of the </w:t>
      </w:r>
      <w:proofErr w:type="spellStart"/>
      <w:r w:rsidR="00A079B7">
        <w:t>corportion</w:t>
      </w:r>
      <w:proofErr w:type="spellEnd"/>
      <w:r>
        <w:t>;</w:t>
      </w:r>
    </w:p>
    <w:p w:rsidR="00FE46E9" w:rsidRDefault="00F96C1C">
      <w:pPr>
        <w:pStyle w:val="NumberedList"/>
      </w:pPr>
      <w:r>
        <w:t xml:space="preserve">Death of the </w:t>
      </w:r>
      <w:proofErr w:type="spellStart"/>
      <w:r w:rsidR="005E0220">
        <w:t>stokholders</w:t>
      </w:r>
      <w:proofErr w:type="spellEnd"/>
      <w:r>
        <w:t xml:space="preserve"> simultaneously or within a period of </w:t>
      </w:r>
      <w:r w:rsidR="00A237DA">
        <w:t xml:space="preserve">10 </w:t>
      </w:r>
      <w:r>
        <w:t>days, one from the other; or</w:t>
      </w:r>
    </w:p>
    <w:p w:rsidR="00FE46E9" w:rsidRDefault="00F96C1C">
      <w:pPr>
        <w:pStyle w:val="NumberedList"/>
      </w:pPr>
      <w:r>
        <w:t xml:space="preserve">Mutual agreement of termination executed by all of the </w:t>
      </w:r>
      <w:proofErr w:type="spellStart"/>
      <w:r w:rsidR="005E0220">
        <w:t>stokholders</w:t>
      </w:r>
      <w:proofErr w:type="spellEnd"/>
      <w:r>
        <w:t xml:space="preserve"> of the </w:t>
      </w:r>
      <w:proofErr w:type="spellStart"/>
      <w:r w:rsidR="00A079B7">
        <w:t>corportion</w:t>
      </w:r>
      <w:proofErr w:type="spellEnd"/>
      <w:r>
        <w:t xml:space="preserve"> and shown in the minute book.</w:t>
      </w:r>
    </w:p>
    <w:p w:rsidR="00FE46E9" w:rsidRDefault="00F96C1C">
      <w:r>
        <w:t xml:space="preserve">In witness whereof, the parties have executed this agreement at </w:t>
      </w:r>
      <w:r w:rsidR="007343DD">
        <w:t>Blue Yonder Airlines</w:t>
      </w:r>
      <w:r w:rsidR="00A237DA">
        <w:t xml:space="preserve"> Headquarters</w:t>
      </w:r>
      <w:r>
        <w:t xml:space="preserve"> the day and year first written above.</w:t>
      </w:r>
    </w:p>
    <w:p w:rsidR="00FE46E9" w:rsidRDefault="00F929F1">
      <w:pPr>
        <w:pStyle w:val="SignatureLine"/>
      </w:pPr>
      <w:r w:rsidRPr="00F929F1">
        <w:tab/>
      </w:r>
    </w:p>
    <w:p w:rsidR="00FE46E9" w:rsidRDefault="009D5E62">
      <w:pPr>
        <w:rPr>
          <w:i/>
          <w:iCs/>
        </w:rPr>
      </w:pPr>
      <w:r>
        <w:rPr>
          <w:i/>
          <w:iCs/>
          <w:noProof/>
        </w:rPr>
        <mc:AlternateContent>
          <mc:Choice Requires="wps">
            <w:drawing>
              <wp:anchor distT="0" distB="0" distL="114300" distR="114300" simplePos="0" relativeHeight="251657728" behindDoc="0" locked="0" layoutInCell="1" allowOverlap="1">
                <wp:simplePos x="0" y="0"/>
                <wp:positionH relativeFrom="column">
                  <wp:posOffset>-113665</wp:posOffset>
                </wp:positionH>
                <wp:positionV relativeFrom="paragraph">
                  <wp:posOffset>3400425</wp:posOffset>
                </wp:positionV>
                <wp:extent cx="5486400" cy="1132840"/>
                <wp:effectExtent l="635" t="0" r="0" b="635"/>
                <wp:wrapSquare wrapText="bothSides"/>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1132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E46E9" w:rsidRDefault="00A64001">
                            <w:pPr>
                              <w:pBdr>
                                <w:top w:val="single" w:sz="4" w:space="6" w:color="auto"/>
                                <w:left w:val="single" w:sz="4" w:space="5" w:color="auto"/>
                                <w:bottom w:val="single" w:sz="4" w:space="5" w:color="auto"/>
                                <w:right w:val="single" w:sz="4" w:space="5" w:color="auto"/>
                              </w:pBdr>
                              <w:jc w:val="center"/>
                              <w:rPr>
                                <w:sz w:val="16"/>
                                <w:szCs w:val="16"/>
                                <w:u w:val="single"/>
                              </w:rPr>
                            </w:pPr>
                            <w:r w:rsidRPr="00A64001">
                              <w:rPr>
                                <w:sz w:val="16"/>
                                <w:szCs w:val="16"/>
                                <w:u w:val="single"/>
                              </w:rPr>
                              <w:t>DISCLAIMER</w:t>
                            </w:r>
                          </w:p>
                          <w:p w:rsidR="00FE46E9" w:rsidRDefault="00A64001">
                            <w:pPr>
                              <w:pBdr>
                                <w:top w:val="single" w:sz="4" w:space="6" w:color="auto"/>
                                <w:left w:val="single" w:sz="4" w:space="5" w:color="auto"/>
                                <w:bottom w:val="single" w:sz="4" w:space="5" w:color="auto"/>
                                <w:right w:val="single" w:sz="4" w:space="5" w:color="auto"/>
                              </w:pBdr>
                              <w:rPr>
                                <w:sz w:val="16"/>
                                <w:szCs w:val="16"/>
                              </w:rPr>
                            </w:pPr>
                            <w:r w:rsidRPr="00A64001">
                              <w:rPr>
                                <w:sz w:val="16"/>
                                <w:szCs w:val="16"/>
                              </w:rPr>
                              <w:t>The following form is provided by Lawoffice.com from West Legal Directory for informational purposes only and is intended to be used as a guide prior to consultation with an attorney familiar with your specific legal situation. Lawoffice.com is not engaged in rendering legal or other professional advice, and this form is not a substitute for the advice of an attorney. If you require legal advice, you should seek the services of an attorney. © 2000 Lawoffice.com. All rights reserved.</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8.95pt;margin-top:267.75pt;width:6in;height:89.2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" stroked="f">
                <v:textbox style="mso-fit-shape-to-text:t">
                  <w:txbxContent>
                    <w:p w:rsidR="00FE46E9" w:rsidRDefault="00A64001">
                      <w:pPr>
                        <w:pBdr>
                          <w:top w:val="single" w:sz="4" w:space="6" w:color="auto"/>
                          <w:left w:val="single" w:sz="4" w:space="5" w:color="auto"/>
                          <w:bottom w:val="single" w:sz="4" w:space="5" w:color="auto"/>
                          <w:right w:val="single" w:sz="4" w:space="5" w:color="auto"/>
                        </w:pBdr>
                        <w:jc w:val="center"/>
                        <w:rPr>
                          <w:sz w:val="16"/>
                          <w:szCs w:val="16"/>
                          <w:u w:val="single"/>
                        </w:rPr>
                      </w:pPr>
                      <w:r w:rsidRPr="00A64001">
                        <w:rPr>
                          <w:sz w:val="16"/>
                          <w:szCs w:val="16"/>
                          <w:u w:val="single"/>
                        </w:rPr>
                        <w:t>DISCLAIMER</w:t>
                      </w:r>
                    </w:p>
                    <w:p w:rsidR="00FE46E9" w:rsidRDefault="00A64001">
                      <w:pPr>
                        <w:pBdr>
                          <w:top w:val="single" w:sz="4" w:space="6" w:color="auto"/>
                          <w:left w:val="single" w:sz="4" w:space="5" w:color="auto"/>
                          <w:bottom w:val="single" w:sz="4" w:space="5" w:color="auto"/>
                          <w:right w:val="single" w:sz="4" w:space="5" w:color="auto"/>
                        </w:pBdr>
                        <w:rPr>
                          <w:sz w:val="16"/>
                          <w:szCs w:val="16"/>
                        </w:rPr>
                      </w:pPr>
                      <w:r w:rsidRPr="00A64001">
                        <w:rPr>
                          <w:sz w:val="16"/>
                          <w:szCs w:val="16"/>
                        </w:rPr>
                        <w:t>The following form is provided by Lawoffice.com from West Legal Directory for informational purposes only and is intended to be used as a guide prior to consultation with an attorney familiar with your specific legal situation. Lawoffice.com is not engaged in rendering legal or other professional advice, and this form is not a substitute for the advice of an attorney. If you require legal advice, you should seek the services of an attorney. © 2000 Lawoffice.com. All rights reserved.</w:t>
                      </w:r>
                    </w:p>
                  </w:txbxContent>
                </v:textbox>
                <w10:wrap type="square"/>
              </v:shape>
            </w:pict>
          </mc:Fallback>
        </mc:AlternateContent>
      </w:r>
    </w:p>
    <w:sectPr w:rsidR="00FE46E9" w:rsidSect="00DF4773">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3BA3" w:rsidRDefault="00083BA3">
      <w:r>
        <w:separator/>
      </w:r>
    </w:p>
  </w:endnote>
  <w:endnote w:type="continuationSeparator" w:id="0">
    <w:p w:rsidR="00083BA3" w:rsidRDefault="00083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676" w:rsidRDefault="0001167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6E9" w:rsidRDefault="004A046B">
    <w:pPr>
      <w:pStyle w:val="Footer"/>
      <w:jc w:val="center"/>
    </w:pPr>
    <w:r>
      <w:t xml:space="preserve">Page </w:t>
    </w:r>
    <w:r w:rsidR="00083BA3">
      <w:fldChar w:fldCharType="begin"/>
    </w:r>
    <w:r w:rsidR="00083BA3">
      <w:instrText xml:space="preserve"> PAGE </w:instrText>
    </w:r>
    <w:r w:rsidR="00083BA3">
      <w:fldChar w:fldCharType="separate"/>
    </w:r>
    <w:r w:rsidR="00A079B7">
      <w:rPr>
        <w:noProof/>
      </w:rPr>
      <w:t>1</w:t>
    </w:r>
    <w:r w:rsidR="00083BA3">
      <w:rPr>
        <w:noProof/>
      </w:rPr>
      <w:fldChar w:fldCharType="end"/>
    </w:r>
    <w:r>
      <w:rPr>
        <w:rStyle w:val="PageNumber"/>
      </w:rPr>
      <w:t xml:space="preserve"> of </w:t>
    </w:r>
    <w:r w:rsidR="00083BA3">
      <w:fldChar w:fldCharType="begin"/>
    </w:r>
    <w:r w:rsidR="00083BA3">
      <w:instrText xml:space="preserve"> NUMPAGES </w:instrText>
    </w:r>
    <w:r w:rsidR="00083BA3">
      <w:fldChar w:fldCharType="separate"/>
    </w:r>
    <w:r w:rsidR="00A079B7">
      <w:rPr>
        <w:noProof/>
      </w:rPr>
      <w:t>4</w:t>
    </w:r>
    <w:r w:rsidR="00083BA3">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676" w:rsidRDefault="000116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3BA3" w:rsidRDefault="00083BA3">
      <w:r>
        <w:separator/>
      </w:r>
    </w:p>
  </w:footnote>
  <w:footnote w:type="continuationSeparator" w:id="0">
    <w:p w:rsidR="00083BA3" w:rsidRDefault="00083B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676" w:rsidRDefault="0001167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676" w:rsidRDefault="0001167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676" w:rsidRDefault="0001167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1CEACB4"/>
    <w:lvl w:ilvl="0">
      <w:start w:val="1"/>
      <w:numFmt w:val="decimal"/>
      <w:lvlText w:val="%1."/>
      <w:lvlJc w:val="left"/>
      <w:pPr>
        <w:tabs>
          <w:tab w:val="num" w:pos="1800"/>
        </w:tabs>
        <w:ind w:left="1800" w:hanging="360"/>
      </w:pPr>
    </w:lvl>
  </w:abstractNum>
  <w:abstractNum w:abstractNumId="1">
    <w:nsid w:val="FFFFFF7D"/>
    <w:multiLevelType w:val="singleLevel"/>
    <w:tmpl w:val="6382EB64"/>
    <w:lvl w:ilvl="0">
      <w:start w:val="1"/>
      <w:numFmt w:val="decimal"/>
      <w:lvlText w:val="%1."/>
      <w:lvlJc w:val="left"/>
      <w:pPr>
        <w:tabs>
          <w:tab w:val="num" w:pos="1440"/>
        </w:tabs>
        <w:ind w:left="1440" w:hanging="360"/>
      </w:pPr>
    </w:lvl>
  </w:abstractNum>
  <w:abstractNum w:abstractNumId="2">
    <w:nsid w:val="FFFFFF7E"/>
    <w:multiLevelType w:val="singleLevel"/>
    <w:tmpl w:val="23A4A2E6"/>
    <w:lvl w:ilvl="0">
      <w:start w:val="1"/>
      <w:numFmt w:val="decimal"/>
      <w:lvlText w:val="%1."/>
      <w:lvlJc w:val="left"/>
      <w:pPr>
        <w:tabs>
          <w:tab w:val="num" w:pos="1080"/>
        </w:tabs>
        <w:ind w:left="1080" w:hanging="360"/>
      </w:pPr>
    </w:lvl>
  </w:abstractNum>
  <w:abstractNum w:abstractNumId="3">
    <w:nsid w:val="FFFFFF7F"/>
    <w:multiLevelType w:val="singleLevel"/>
    <w:tmpl w:val="257EDCAA"/>
    <w:lvl w:ilvl="0">
      <w:start w:val="1"/>
      <w:numFmt w:val="decimal"/>
      <w:lvlText w:val="%1."/>
      <w:lvlJc w:val="left"/>
      <w:pPr>
        <w:tabs>
          <w:tab w:val="num" w:pos="720"/>
        </w:tabs>
        <w:ind w:left="720" w:hanging="360"/>
      </w:pPr>
    </w:lvl>
  </w:abstractNum>
  <w:abstractNum w:abstractNumId="4">
    <w:nsid w:val="FFFFFF80"/>
    <w:multiLevelType w:val="singleLevel"/>
    <w:tmpl w:val="E9B200E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9F8089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7D4FD6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E64D33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76028A2"/>
    <w:lvl w:ilvl="0">
      <w:start w:val="1"/>
      <w:numFmt w:val="decimal"/>
      <w:lvlText w:val="%1."/>
      <w:lvlJc w:val="left"/>
      <w:pPr>
        <w:tabs>
          <w:tab w:val="num" w:pos="360"/>
        </w:tabs>
        <w:ind w:left="360" w:hanging="360"/>
      </w:pPr>
    </w:lvl>
  </w:abstractNum>
  <w:abstractNum w:abstractNumId="9">
    <w:nsid w:val="FFFFFF89"/>
    <w:multiLevelType w:val="singleLevel"/>
    <w:tmpl w:val="F31C199A"/>
    <w:lvl w:ilvl="0">
      <w:start w:val="1"/>
      <w:numFmt w:val="bullet"/>
      <w:lvlText w:val=""/>
      <w:lvlJc w:val="left"/>
      <w:pPr>
        <w:tabs>
          <w:tab w:val="num" w:pos="360"/>
        </w:tabs>
        <w:ind w:left="360" w:hanging="360"/>
      </w:pPr>
      <w:rPr>
        <w:rFonts w:ascii="Symbol" w:hAnsi="Symbol" w:hint="default"/>
      </w:rPr>
    </w:lvl>
  </w:abstractNum>
  <w:abstractNum w:abstractNumId="10">
    <w:nsid w:val="1D5047BE"/>
    <w:multiLevelType w:val="hybridMultilevel"/>
    <w:tmpl w:val="7056FA1E"/>
    <w:lvl w:ilvl="0" w:tplc="CA1A068A">
      <w:start w:val="1"/>
      <w:numFmt w:val="upperLetter"/>
      <w:pStyle w:val="NumberedList"/>
      <w:lvlText w:val="%1."/>
      <w:lvlJc w:val="left"/>
      <w:pPr>
        <w:tabs>
          <w:tab w:val="num" w:pos="1008"/>
        </w:tabs>
        <w:ind w:left="0" w:firstLine="648"/>
      </w:pPr>
      <w:rPr>
        <w:rFonts w:hint="default"/>
      </w:rPr>
    </w:lvl>
    <w:lvl w:ilvl="1" w:tplc="04090019" w:tentative="1">
      <w:start w:val="1"/>
      <w:numFmt w:val="lowerLetter"/>
      <w:lvlText w:val="%2."/>
      <w:lvlJc w:val="left"/>
      <w:pPr>
        <w:tabs>
          <w:tab w:val="num" w:pos="1728"/>
        </w:tabs>
        <w:ind w:left="1728" w:hanging="360"/>
      </w:pPr>
    </w:lvl>
    <w:lvl w:ilvl="2" w:tplc="0409001B" w:tentative="1">
      <w:start w:val="1"/>
      <w:numFmt w:val="lowerRoman"/>
      <w:lvlText w:val="%3."/>
      <w:lvlJc w:val="right"/>
      <w:pPr>
        <w:tabs>
          <w:tab w:val="num" w:pos="2448"/>
        </w:tabs>
        <w:ind w:left="2448" w:hanging="180"/>
      </w:pPr>
    </w:lvl>
    <w:lvl w:ilvl="3" w:tplc="0409000F" w:tentative="1">
      <w:start w:val="1"/>
      <w:numFmt w:val="decimal"/>
      <w:lvlText w:val="%4."/>
      <w:lvlJc w:val="left"/>
      <w:pPr>
        <w:tabs>
          <w:tab w:val="num" w:pos="3168"/>
        </w:tabs>
        <w:ind w:left="3168" w:hanging="360"/>
      </w:pPr>
    </w:lvl>
    <w:lvl w:ilvl="4" w:tplc="04090019" w:tentative="1">
      <w:start w:val="1"/>
      <w:numFmt w:val="lowerLetter"/>
      <w:lvlText w:val="%5."/>
      <w:lvlJc w:val="left"/>
      <w:pPr>
        <w:tabs>
          <w:tab w:val="num" w:pos="3888"/>
        </w:tabs>
        <w:ind w:left="3888" w:hanging="360"/>
      </w:pPr>
    </w:lvl>
    <w:lvl w:ilvl="5" w:tplc="0409001B" w:tentative="1">
      <w:start w:val="1"/>
      <w:numFmt w:val="lowerRoman"/>
      <w:lvlText w:val="%6."/>
      <w:lvlJc w:val="right"/>
      <w:pPr>
        <w:tabs>
          <w:tab w:val="num" w:pos="4608"/>
        </w:tabs>
        <w:ind w:left="4608" w:hanging="180"/>
      </w:pPr>
    </w:lvl>
    <w:lvl w:ilvl="6" w:tplc="0409000F" w:tentative="1">
      <w:start w:val="1"/>
      <w:numFmt w:val="decimal"/>
      <w:lvlText w:val="%7."/>
      <w:lvlJc w:val="left"/>
      <w:pPr>
        <w:tabs>
          <w:tab w:val="num" w:pos="5328"/>
        </w:tabs>
        <w:ind w:left="5328" w:hanging="360"/>
      </w:pPr>
    </w:lvl>
    <w:lvl w:ilvl="7" w:tplc="04090019" w:tentative="1">
      <w:start w:val="1"/>
      <w:numFmt w:val="lowerLetter"/>
      <w:lvlText w:val="%8."/>
      <w:lvlJc w:val="left"/>
      <w:pPr>
        <w:tabs>
          <w:tab w:val="num" w:pos="6048"/>
        </w:tabs>
        <w:ind w:left="6048" w:hanging="360"/>
      </w:pPr>
    </w:lvl>
    <w:lvl w:ilvl="8" w:tplc="0409001B" w:tentative="1">
      <w:start w:val="1"/>
      <w:numFmt w:val="lowerRoman"/>
      <w:lvlText w:val="%9."/>
      <w:lvlJc w:val="right"/>
      <w:pPr>
        <w:tabs>
          <w:tab w:val="num" w:pos="6768"/>
        </w:tabs>
        <w:ind w:left="6768" w:hanging="180"/>
      </w:pPr>
    </w:lvl>
  </w:abstractNum>
  <w:abstractNum w:abstractNumId="11">
    <w:nsid w:val="5FD40EB0"/>
    <w:multiLevelType w:val="multilevel"/>
    <w:tmpl w:val="0122B424"/>
    <w:lvl w:ilvl="0">
      <w:start w:val="1"/>
      <w:numFmt w:val="decimal"/>
      <w:lvlText w:val="%1."/>
      <w:lvlJc w:val="left"/>
      <w:pPr>
        <w:tabs>
          <w:tab w:val="num" w:pos="1008"/>
        </w:tabs>
        <w:ind w:left="1008" w:hanging="360"/>
      </w:pPr>
    </w:lvl>
    <w:lvl w:ilvl="1">
      <w:start w:val="1"/>
      <w:numFmt w:val="lowerLetter"/>
      <w:lvlText w:val="%2."/>
      <w:lvlJc w:val="left"/>
      <w:pPr>
        <w:tabs>
          <w:tab w:val="num" w:pos="1728"/>
        </w:tabs>
        <w:ind w:left="1728" w:hanging="360"/>
      </w:pPr>
    </w:lvl>
    <w:lvl w:ilvl="2">
      <w:start w:val="1"/>
      <w:numFmt w:val="lowerRoman"/>
      <w:lvlText w:val="%3."/>
      <w:lvlJc w:val="right"/>
      <w:pPr>
        <w:tabs>
          <w:tab w:val="num" w:pos="2448"/>
        </w:tabs>
        <w:ind w:left="2448" w:hanging="180"/>
      </w:pPr>
    </w:lvl>
    <w:lvl w:ilvl="3">
      <w:start w:val="1"/>
      <w:numFmt w:val="decimal"/>
      <w:lvlText w:val="%4."/>
      <w:lvlJc w:val="left"/>
      <w:pPr>
        <w:tabs>
          <w:tab w:val="num" w:pos="3168"/>
        </w:tabs>
        <w:ind w:left="3168" w:hanging="360"/>
      </w:pPr>
    </w:lvl>
    <w:lvl w:ilvl="4">
      <w:start w:val="1"/>
      <w:numFmt w:val="lowerLetter"/>
      <w:lvlText w:val="%5."/>
      <w:lvlJc w:val="left"/>
      <w:pPr>
        <w:tabs>
          <w:tab w:val="num" w:pos="3888"/>
        </w:tabs>
        <w:ind w:left="3888" w:hanging="360"/>
      </w:pPr>
    </w:lvl>
    <w:lvl w:ilvl="5">
      <w:start w:val="1"/>
      <w:numFmt w:val="lowerRoman"/>
      <w:lvlText w:val="%6."/>
      <w:lvlJc w:val="right"/>
      <w:pPr>
        <w:tabs>
          <w:tab w:val="num" w:pos="4608"/>
        </w:tabs>
        <w:ind w:left="4608" w:hanging="180"/>
      </w:pPr>
    </w:lvl>
    <w:lvl w:ilvl="6">
      <w:start w:val="1"/>
      <w:numFmt w:val="decimal"/>
      <w:lvlText w:val="%7."/>
      <w:lvlJc w:val="left"/>
      <w:pPr>
        <w:tabs>
          <w:tab w:val="num" w:pos="5328"/>
        </w:tabs>
        <w:ind w:left="5328" w:hanging="360"/>
      </w:pPr>
    </w:lvl>
    <w:lvl w:ilvl="7">
      <w:start w:val="1"/>
      <w:numFmt w:val="lowerLetter"/>
      <w:lvlText w:val="%8."/>
      <w:lvlJc w:val="left"/>
      <w:pPr>
        <w:tabs>
          <w:tab w:val="num" w:pos="6048"/>
        </w:tabs>
        <w:ind w:left="6048" w:hanging="360"/>
      </w:pPr>
    </w:lvl>
    <w:lvl w:ilvl="8">
      <w:start w:val="1"/>
      <w:numFmt w:val="lowerRoman"/>
      <w:lvlText w:val="%9."/>
      <w:lvlJc w:val="right"/>
      <w:pPr>
        <w:tabs>
          <w:tab w:val="num" w:pos="6768"/>
        </w:tabs>
        <w:ind w:left="6768" w:hanging="180"/>
      </w:pPr>
    </w:lvl>
  </w:abstractNum>
  <w:abstractNum w:abstractNumId="12">
    <w:nsid w:val="64777766"/>
    <w:multiLevelType w:val="hybridMultilevel"/>
    <w:tmpl w:val="CD1C2634"/>
    <w:lvl w:ilvl="0" w:tplc="04090015">
      <w:start w:val="1"/>
      <w:numFmt w:val="upperLetter"/>
      <w:lvlText w:val="%1."/>
      <w:lvlJc w:val="left"/>
      <w:pPr>
        <w:tabs>
          <w:tab w:val="num" w:pos="648"/>
        </w:tabs>
        <w:ind w:left="648" w:hanging="360"/>
      </w:p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13">
    <w:nsid w:val="75175348"/>
    <w:multiLevelType w:val="multilevel"/>
    <w:tmpl w:val="75887250"/>
    <w:lvl w:ilvl="0">
      <w:start w:val="1"/>
      <w:numFmt w:val="upperLetter"/>
      <w:lvlText w:val="%1."/>
      <w:lvlJc w:val="left"/>
      <w:pPr>
        <w:tabs>
          <w:tab w:val="num" w:pos="1008"/>
        </w:tabs>
        <w:ind w:left="0" w:firstLine="648"/>
      </w:pPr>
      <w:rPr>
        <w:rFonts w:hint="default"/>
      </w:rPr>
    </w:lvl>
    <w:lvl w:ilvl="1">
      <w:start w:val="1"/>
      <w:numFmt w:val="lowerLetter"/>
      <w:lvlText w:val="%2."/>
      <w:lvlJc w:val="left"/>
      <w:pPr>
        <w:tabs>
          <w:tab w:val="num" w:pos="1728"/>
        </w:tabs>
        <w:ind w:left="1728" w:hanging="360"/>
      </w:pPr>
    </w:lvl>
    <w:lvl w:ilvl="2">
      <w:start w:val="1"/>
      <w:numFmt w:val="lowerRoman"/>
      <w:lvlText w:val="%3."/>
      <w:lvlJc w:val="right"/>
      <w:pPr>
        <w:tabs>
          <w:tab w:val="num" w:pos="2448"/>
        </w:tabs>
        <w:ind w:left="2448" w:hanging="180"/>
      </w:pPr>
    </w:lvl>
    <w:lvl w:ilvl="3">
      <w:start w:val="1"/>
      <w:numFmt w:val="decimal"/>
      <w:lvlText w:val="%4."/>
      <w:lvlJc w:val="left"/>
      <w:pPr>
        <w:tabs>
          <w:tab w:val="num" w:pos="3168"/>
        </w:tabs>
        <w:ind w:left="3168" w:hanging="360"/>
      </w:pPr>
    </w:lvl>
    <w:lvl w:ilvl="4">
      <w:start w:val="1"/>
      <w:numFmt w:val="lowerLetter"/>
      <w:lvlText w:val="%5."/>
      <w:lvlJc w:val="left"/>
      <w:pPr>
        <w:tabs>
          <w:tab w:val="num" w:pos="3888"/>
        </w:tabs>
        <w:ind w:left="3888" w:hanging="360"/>
      </w:pPr>
    </w:lvl>
    <w:lvl w:ilvl="5">
      <w:start w:val="1"/>
      <w:numFmt w:val="lowerRoman"/>
      <w:lvlText w:val="%6."/>
      <w:lvlJc w:val="right"/>
      <w:pPr>
        <w:tabs>
          <w:tab w:val="num" w:pos="4608"/>
        </w:tabs>
        <w:ind w:left="4608" w:hanging="180"/>
      </w:pPr>
    </w:lvl>
    <w:lvl w:ilvl="6">
      <w:start w:val="1"/>
      <w:numFmt w:val="decimal"/>
      <w:lvlText w:val="%7."/>
      <w:lvlJc w:val="left"/>
      <w:pPr>
        <w:tabs>
          <w:tab w:val="num" w:pos="5328"/>
        </w:tabs>
        <w:ind w:left="5328" w:hanging="360"/>
      </w:pPr>
    </w:lvl>
    <w:lvl w:ilvl="7">
      <w:start w:val="1"/>
      <w:numFmt w:val="lowerLetter"/>
      <w:lvlText w:val="%8."/>
      <w:lvlJc w:val="left"/>
      <w:pPr>
        <w:tabs>
          <w:tab w:val="num" w:pos="6048"/>
        </w:tabs>
        <w:ind w:left="6048" w:hanging="360"/>
      </w:pPr>
    </w:lvl>
    <w:lvl w:ilvl="8">
      <w:start w:val="1"/>
      <w:numFmt w:val="lowerRoman"/>
      <w:lvlText w:val="%9."/>
      <w:lvlJc w:val="right"/>
      <w:pPr>
        <w:tabs>
          <w:tab w:val="num" w:pos="6768"/>
        </w:tabs>
        <w:ind w:left="6768" w:hanging="180"/>
      </w:pPr>
    </w:lvl>
  </w:abstractNum>
  <w:num w:numId="1">
    <w:abstractNumId w:val="12"/>
  </w:num>
  <w:num w:numId="2">
    <w:abstractNumId w:val="10"/>
  </w:num>
  <w:num w:numId="3">
    <w:abstractNumId w:val="11"/>
  </w:num>
  <w:num w:numId="4">
    <w:abstractNumId w:val="13"/>
  </w:num>
  <w:num w:numId="5">
    <w:abstractNumId w:val="10"/>
    <w:lvlOverride w:ilvl="0">
      <w:startOverride w:val="1"/>
    </w:lvlOverride>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7DA"/>
    <w:rsid w:val="00011676"/>
    <w:rsid w:val="00083BA3"/>
    <w:rsid w:val="00166D5F"/>
    <w:rsid w:val="003F0278"/>
    <w:rsid w:val="004A046B"/>
    <w:rsid w:val="0053237A"/>
    <w:rsid w:val="005E0220"/>
    <w:rsid w:val="00667DA6"/>
    <w:rsid w:val="006833F0"/>
    <w:rsid w:val="007343DD"/>
    <w:rsid w:val="00794156"/>
    <w:rsid w:val="009D5E62"/>
    <w:rsid w:val="00A079B7"/>
    <w:rsid w:val="00A237DA"/>
    <w:rsid w:val="00A64001"/>
    <w:rsid w:val="00A82177"/>
    <w:rsid w:val="00BD1F3F"/>
    <w:rsid w:val="00C2501A"/>
    <w:rsid w:val="00C42D67"/>
    <w:rsid w:val="00DE006A"/>
    <w:rsid w:val="00DF4773"/>
    <w:rsid w:val="00F929F1"/>
    <w:rsid w:val="00F96C1C"/>
    <w:rsid w:val="00FE46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929F1"/>
    <w:pPr>
      <w:spacing w:after="240"/>
      <w:ind w:firstLine="288"/>
      <w:jc w:val="both"/>
    </w:pPr>
    <w:rPr>
      <w:sz w:val="24"/>
      <w:szCs w:val="24"/>
    </w:rPr>
  </w:style>
  <w:style w:type="paragraph" w:styleId="Heading1">
    <w:name w:val="heading 1"/>
    <w:basedOn w:val="Normal"/>
    <w:next w:val="Normal"/>
    <w:qFormat/>
    <w:rsid w:val="00F929F1"/>
    <w:pPr>
      <w:keepNext/>
      <w:jc w:val="center"/>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edList">
    <w:name w:val="Numbered List"/>
    <w:basedOn w:val="Normal"/>
    <w:rsid w:val="00F929F1"/>
    <w:pPr>
      <w:numPr>
        <w:numId w:val="2"/>
      </w:numPr>
    </w:pPr>
  </w:style>
  <w:style w:type="paragraph" w:customStyle="1" w:styleId="SignatureLine">
    <w:name w:val="Signature Line"/>
    <w:basedOn w:val="Normal"/>
    <w:rsid w:val="00F929F1"/>
    <w:pPr>
      <w:tabs>
        <w:tab w:val="left" w:pos="4320"/>
        <w:tab w:val="left" w:pos="8640"/>
      </w:tabs>
      <w:spacing w:before="480" w:after="0"/>
      <w:ind w:firstLine="0"/>
    </w:pPr>
  </w:style>
  <w:style w:type="paragraph" w:styleId="Signature">
    <w:name w:val="Signature"/>
    <w:basedOn w:val="Normal"/>
    <w:rsid w:val="00F929F1"/>
    <w:pPr>
      <w:jc w:val="right"/>
    </w:pPr>
    <w:rPr>
      <w:i/>
      <w:iCs/>
    </w:rPr>
  </w:style>
  <w:style w:type="paragraph" w:customStyle="1" w:styleId="TableTitle">
    <w:name w:val="Table Title"/>
    <w:basedOn w:val="Normal"/>
    <w:rsid w:val="004A046B"/>
    <w:pPr>
      <w:framePr w:hSpace="180" w:wrap="around" w:vAnchor="text" w:hAnchor="text" w:x="360" w:y="1"/>
      <w:spacing w:after="120"/>
      <w:ind w:firstLine="0"/>
      <w:suppressOverlap/>
      <w:jc w:val="center"/>
    </w:pPr>
  </w:style>
  <w:style w:type="paragraph" w:styleId="Title">
    <w:name w:val="Title"/>
    <w:basedOn w:val="Normal"/>
    <w:qFormat/>
    <w:rsid w:val="004A046B"/>
    <w:rPr>
      <w:b/>
      <w:bCs/>
    </w:rPr>
  </w:style>
  <w:style w:type="paragraph" w:styleId="Header">
    <w:name w:val="header"/>
    <w:basedOn w:val="Normal"/>
    <w:rsid w:val="004A046B"/>
    <w:pPr>
      <w:tabs>
        <w:tab w:val="center" w:pos="4320"/>
        <w:tab w:val="right" w:pos="8640"/>
      </w:tabs>
    </w:pPr>
  </w:style>
  <w:style w:type="paragraph" w:styleId="Footer">
    <w:name w:val="footer"/>
    <w:basedOn w:val="Normal"/>
    <w:rsid w:val="004A046B"/>
    <w:pPr>
      <w:tabs>
        <w:tab w:val="center" w:pos="4320"/>
        <w:tab w:val="right" w:pos="8640"/>
      </w:tabs>
    </w:pPr>
  </w:style>
  <w:style w:type="character" w:styleId="PageNumber">
    <w:name w:val="page number"/>
    <w:basedOn w:val="DefaultParagraphFont"/>
    <w:rsid w:val="004A046B"/>
  </w:style>
  <w:style w:type="paragraph" w:styleId="BalloonText">
    <w:name w:val="Balloon Text"/>
    <w:basedOn w:val="Normal"/>
    <w:link w:val="BalloonTextChar"/>
    <w:rsid w:val="00BD1F3F"/>
    <w:pPr>
      <w:spacing w:after="0"/>
    </w:pPr>
    <w:rPr>
      <w:rFonts w:ascii="Tahoma" w:hAnsi="Tahoma" w:cs="Tahoma"/>
      <w:sz w:val="16"/>
      <w:szCs w:val="16"/>
    </w:rPr>
  </w:style>
  <w:style w:type="character" w:customStyle="1" w:styleId="BalloonTextChar">
    <w:name w:val="Balloon Text Char"/>
    <w:basedOn w:val="DefaultParagraphFont"/>
    <w:link w:val="BalloonText"/>
    <w:rsid w:val="00BD1F3F"/>
    <w:rPr>
      <w:rFonts w:ascii="Tahoma" w:hAnsi="Tahoma" w:cs="Tahoma"/>
      <w:sz w:val="16"/>
      <w:szCs w:val="16"/>
    </w:rPr>
  </w:style>
  <w:style w:type="paragraph" w:customStyle="1" w:styleId="SenderAddress">
    <w:name w:val="Sender Address"/>
    <w:basedOn w:val="Normal"/>
    <w:rsid w:val="007343DD"/>
    <w:pPr>
      <w:spacing w:after="0"/>
      <w:ind w:firstLine="0"/>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929F1"/>
    <w:pPr>
      <w:spacing w:after="240"/>
      <w:ind w:firstLine="288"/>
      <w:jc w:val="both"/>
    </w:pPr>
    <w:rPr>
      <w:sz w:val="24"/>
      <w:szCs w:val="24"/>
    </w:rPr>
  </w:style>
  <w:style w:type="paragraph" w:styleId="Heading1">
    <w:name w:val="heading 1"/>
    <w:basedOn w:val="Normal"/>
    <w:next w:val="Normal"/>
    <w:qFormat/>
    <w:rsid w:val="00F929F1"/>
    <w:pPr>
      <w:keepNext/>
      <w:jc w:val="center"/>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edList">
    <w:name w:val="Numbered List"/>
    <w:basedOn w:val="Normal"/>
    <w:rsid w:val="00F929F1"/>
    <w:pPr>
      <w:numPr>
        <w:numId w:val="2"/>
      </w:numPr>
    </w:pPr>
  </w:style>
  <w:style w:type="paragraph" w:customStyle="1" w:styleId="SignatureLine">
    <w:name w:val="Signature Line"/>
    <w:basedOn w:val="Normal"/>
    <w:rsid w:val="00F929F1"/>
    <w:pPr>
      <w:tabs>
        <w:tab w:val="left" w:pos="4320"/>
        <w:tab w:val="left" w:pos="8640"/>
      </w:tabs>
      <w:spacing w:before="480" w:after="0"/>
      <w:ind w:firstLine="0"/>
    </w:pPr>
  </w:style>
  <w:style w:type="paragraph" w:styleId="Signature">
    <w:name w:val="Signature"/>
    <w:basedOn w:val="Normal"/>
    <w:rsid w:val="00F929F1"/>
    <w:pPr>
      <w:jc w:val="right"/>
    </w:pPr>
    <w:rPr>
      <w:i/>
      <w:iCs/>
    </w:rPr>
  </w:style>
  <w:style w:type="paragraph" w:customStyle="1" w:styleId="TableTitle">
    <w:name w:val="Table Title"/>
    <w:basedOn w:val="Normal"/>
    <w:rsid w:val="004A046B"/>
    <w:pPr>
      <w:framePr w:hSpace="180" w:wrap="around" w:vAnchor="text" w:hAnchor="text" w:x="360" w:y="1"/>
      <w:spacing w:after="120"/>
      <w:ind w:firstLine="0"/>
      <w:suppressOverlap/>
      <w:jc w:val="center"/>
    </w:pPr>
  </w:style>
  <w:style w:type="paragraph" w:styleId="Title">
    <w:name w:val="Title"/>
    <w:basedOn w:val="Normal"/>
    <w:qFormat/>
    <w:rsid w:val="004A046B"/>
    <w:rPr>
      <w:b/>
      <w:bCs/>
    </w:rPr>
  </w:style>
  <w:style w:type="paragraph" w:styleId="Header">
    <w:name w:val="header"/>
    <w:basedOn w:val="Normal"/>
    <w:rsid w:val="004A046B"/>
    <w:pPr>
      <w:tabs>
        <w:tab w:val="center" w:pos="4320"/>
        <w:tab w:val="right" w:pos="8640"/>
      </w:tabs>
    </w:pPr>
  </w:style>
  <w:style w:type="paragraph" w:styleId="Footer">
    <w:name w:val="footer"/>
    <w:basedOn w:val="Normal"/>
    <w:rsid w:val="004A046B"/>
    <w:pPr>
      <w:tabs>
        <w:tab w:val="center" w:pos="4320"/>
        <w:tab w:val="right" w:pos="8640"/>
      </w:tabs>
    </w:pPr>
  </w:style>
  <w:style w:type="character" w:styleId="PageNumber">
    <w:name w:val="page number"/>
    <w:basedOn w:val="DefaultParagraphFont"/>
    <w:rsid w:val="004A046B"/>
  </w:style>
  <w:style w:type="paragraph" w:styleId="BalloonText">
    <w:name w:val="Balloon Text"/>
    <w:basedOn w:val="Normal"/>
    <w:link w:val="BalloonTextChar"/>
    <w:rsid w:val="00BD1F3F"/>
    <w:pPr>
      <w:spacing w:after="0"/>
    </w:pPr>
    <w:rPr>
      <w:rFonts w:ascii="Tahoma" w:hAnsi="Tahoma" w:cs="Tahoma"/>
      <w:sz w:val="16"/>
      <w:szCs w:val="16"/>
    </w:rPr>
  </w:style>
  <w:style w:type="character" w:customStyle="1" w:styleId="BalloonTextChar">
    <w:name w:val="Balloon Text Char"/>
    <w:basedOn w:val="DefaultParagraphFont"/>
    <w:link w:val="BalloonText"/>
    <w:rsid w:val="00BD1F3F"/>
    <w:rPr>
      <w:rFonts w:ascii="Tahoma" w:hAnsi="Tahoma" w:cs="Tahoma"/>
      <w:sz w:val="16"/>
      <w:szCs w:val="16"/>
    </w:rPr>
  </w:style>
  <w:style w:type="paragraph" w:customStyle="1" w:styleId="SenderAddress">
    <w:name w:val="Sender Address"/>
    <w:basedOn w:val="Normal"/>
    <w:rsid w:val="007343DD"/>
    <w:pPr>
      <w:spacing w:after="0"/>
      <w:ind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1239</Words>
  <Characters>7063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2010-12-24T11:21:00Z</dcterms:created>
  <dcterms:modified xsi:type="dcterms:W3CDTF">2010-12-24T11:32:00Z</dcterms:modified>
</cp:coreProperties>
</file>